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附件1：</w:t>
      </w:r>
    </w:p>
    <w:p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必修模块：课程说明与学习方法</w:t>
      </w:r>
    </w:p>
    <w:p>
      <w:pPr>
        <w:spacing w:line="360" w:lineRule="auto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一、课程</w:t>
      </w:r>
      <w:r>
        <w:rPr>
          <w:b/>
          <w:sz w:val="28"/>
          <w:szCs w:val="28"/>
        </w:rPr>
        <w:t>与修读</w:t>
      </w:r>
      <w:r>
        <w:rPr>
          <w:rFonts w:hint="eastAsia"/>
          <w:b/>
          <w:sz w:val="28"/>
          <w:szCs w:val="28"/>
        </w:rPr>
        <w:t>说明</w:t>
      </w:r>
    </w:p>
    <w:p>
      <w:pPr>
        <w:spacing w:line="360" w:lineRule="auto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此模块的课程为</w:t>
      </w:r>
      <w:r>
        <w:rPr>
          <w:sz w:val="28"/>
          <w:szCs w:val="28"/>
        </w:rPr>
        <w:t>学校组织</w:t>
      </w:r>
      <w:r>
        <w:rPr>
          <w:rFonts w:hint="eastAsia"/>
          <w:sz w:val="28"/>
          <w:szCs w:val="28"/>
        </w:rPr>
        <w:t>的</w:t>
      </w:r>
      <w:r>
        <w:rPr>
          <w:sz w:val="28"/>
          <w:szCs w:val="28"/>
        </w:rPr>
        <w:t>系列专题报告</w:t>
      </w:r>
      <w:r>
        <w:rPr>
          <w:rFonts w:hint="eastAsia"/>
          <w:sz w:val="28"/>
          <w:szCs w:val="28"/>
        </w:rPr>
        <w:t>等</w:t>
      </w:r>
      <w:r>
        <w:rPr>
          <w:sz w:val="28"/>
          <w:szCs w:val="28"/>
        </w:rPr>
        <w:t>。</w:t>
      </w:r>
      <w:r>
        <w:rPr>
          <w:rFonts w:hint="eastAsia"/>
          <w:sz w:val="28"/>
          <w:szCs w:val="28"/>
        </w:rPr>
        <w:t>主讲教师通过学校录播教室开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展授课，由录播设备全程录像，并由技术人员处理后制作成独立视频（由录播教室技术人员负责），再通过学校云平台建设（由云平台技术人员负责），上传视频录像</w:t>
      </w:r>
      <w:r>
        <w:rPr>
          <w:rFonts w:hint="eastAsia"/>
          <w:sz w:val="28"/>
          <w:szCs w:val="28"/>
        </w:rPr>
        <w:t>后即完成建课，开放给全校学生学习。</w:t>
      </w:r>
    </w:p>
    <w:p>
      <w:pPr>
        <w:spacing w:line="360" w:lineRule="auto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要求：全体学生必须在个性化培养周内通过学校教学云平台完成</w:t>
      </w:r>
      <w:r>
        <w:rPr>
          <w:rFonts w:hint="default"/>
          <w:sz w:val="28"/>
          <w:szCs w:val="28"/>
        </w:rPr>
        <w:t>此</w:t>
      </w:r>
      <w:r>
        <w:rPr>
          <w:rFonts w:hint="eastAsia"/>
          <w:sz w:val="28"/>
          <w:szCs w:val="28"/>
        </w:rPr>
        <w:t>模块的课程学习，完</w:t>
      </w:r>
      <w:r>
        <w:rPr>
          <w:rFonts w:hint="default"/>
          <w:sz w:val="28"/>
          <w:szCs w:val="28"/>
        </w:rPr>
        <w:t>整</w:t>
      </w:r>
      <w:r>
        <w:rPr>
          <w:rFonts w:hint="eastAsia"/>
          <w:sz w:val="28"/>
          <w:szCs w:val="28"/>
        </w:rPr>
        <w:t>聆听本模块所有报告，可获得</w:t>
      </w:r>
      <w:r>
        <w:rPr>
          <w:rFonts w:hint="default"/>
          <w:sz w:val="28"/>
          <w:szCs w:val="28"/>
        </w:rPr>
        <w:t>相关的</w:t>
      </w:r>
      <w:r>
        <w:rPr>
          <w:rFonts w:hint="eastAsia"/>
          <w:sz w:val="28"/>
          <w:szCs w:val="28"/>
        </w:rPr>
        <w:t>素质拓展学分</w:t>
      </w:r>
      <w:r>
        <w:rPr>
          <w:rFonts w:hint="default"/>
          <w:sz w:val="28"/>
          <w:szCs w:val="28"/>
        </w:rPr>
        <w:t>认定</w:t>
      </w:r>
      <w:r>
        <w:rPr>
          <w:rFonts w:hint="eastAsia"/>
          <w:sz w:val="28"/>
          <w:szCs w:val="28"/>
        </w:rPr>
        <w:t>。</w:t>
      </w:r>
    </w:p>
    <w:p>
      <w:pPr>
        <w:spacing w:line="360" w:lineRule="auto"/>
        <w:jc w:val="lef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二、学习监督与反馈</w:t>
      </w:r>
    </w:p>
    <w:p>
      <w:pPr>
        <w:spacing w:line="360" w:lineRule="auto"/>
        <w:ind w:firstLine="54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针对必修模块课程，</w:t>
      </w:r>
      <w:r>
        <w:rPr>
          <w:sz w:val="28"/>
          <w:szCs w:val="28"/>
        </w:rPr>
        <w:t>教学云</w:t>
      </w:r>
      <w:r>
        <w:rPr>
          <w:rFonts w:hint="eastAsia"/>
          <w:sz w:val="28"/>
          <w:szCs w:val="28"/>
        </w:rPr>
        <w:t>平台会完整记录学生的学习行为和学习进度</w:t>
      </w:r>
      <w:r>
        <w:rPr>
          <w:rFonts w:hint="default"/>
          <w:sz w:val="28"/>
          <w:szCs w:val="28"/>
        </w:rPr>
        <w:t>。教师</w:t>
      </w:r>
      <w:r>
        <w:rPr>
          <w:rFonts w:hint="eastAsia"/>
          <w:sz w:val="28"/>
          <w:szCs w:val="28"/>
        </w:rPr>
        <w:t>可通过平台的数据统计分析功能，直观地了解全部学生的学习情况</w:t>
      </w:r>
      <w:r>
        <w:rPr>
          <w:rFonts w:hint="default"/>
          <w:sz w:val="28"/>
          <w:szCs w:val="28"/>
        </w:rPr>
        <w:t>。</w:t>
      </w:r>
      <w:r>
        <w:rPr>
          <w:rFonts w:hint="eastAsia"/>
          <w:sz w:val="28"/>
          <w:szCs w:val="28"/>
        </w:rPr>
        <w:t>教务处将统一提供各学院学生学习此模块课程的数据，供学院</w:t>
      </w:r>
      <w:r>
        <w:rPr>
          <w:sz w:val="28"/>
          <w:szCs w:val="28"/>
        </w:rPr>
        <w:t>过程督导与管理</w:t>
      </w:r>
      <w:r>
        <w:rPr>
          <w:rFonts w:hint="eastAsia"/>
          <w:sz w:val="28"/>
          <w:szCs w:val="28"/>
        </w:rPr>
        <w:t>使用，</w:t>
      </w:r>
      <w:r>
        <w:rPr>
          <w:rFonts w:hint="default"/>
          <w:sz w:val="28"/>
          <w:szCs w:val="28"/>
        </w:rPr>
        <w:t>并</w:t>
      </w:r>
      <w:r>
        <w:rPr>
          <w:rFonts w:hint="eastAsia"/>
          <w:sz w:val="28"/>
          <w:szCs w:val="28"/>
        </w:rPr>
        <w:t>对于未完成此模块修读的学生，进行必要的督促与反馈。</w:t>
      </w:r>
    </w:p>
    <w:p>
      <w:pPr>
        <w:spacing w:line="360" w:lineRule="auto"/>
        <w:jc w:val="lef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三、</w:t>
      </w:r>
      <w:r>
        <w:rPr>
          <w:b/>
          <w:sz w:val="28"/>
          <w:szCs w:val="28"/>
        </w:rPr>
        <w:t>报名与</w:t>
      </w:r>
      <w:r>
        <w:rPr>
          <w:rFonts w:hint="eastAsia"/>
          <w:b/>
          <w:sz w:val="28"/>
          <w:szCs w:val="28"/>
        </w:rPr>
        <w:t>学习方法</w:t>
      </w:r>
    </w:p>
    <w:p>
      <w:pPr>
        <w:spacing w:line="360" w:lineRule="auto"/>
        <w:ind w:firstLine="560" w:firstLineChars="200"/>
        <w:jc w:val="left"/>
        <w:rPr>
          <w:rFonts w:hint="eastAsia"/>
          <w:sz w:val="28"/>
          <w:szCs w:val="28"/>
        </w:rPr>
      </w:pPr>
      <w:bookmarkStart w:id="0" w:name="_Toc3419"/>
      <w:r>
        <w:rPr>
          <w:rFonts w:hint="eastAsia"/>
          <w:sz w:val="28"/>
          <w:szCs w:val="28"/>
        </w:rPr>
        <w:t>学生通过学校教学云平台登陆，平台网址为：</w:t>
      </w:r>
      <w:r>
        <w:fldChar w:fldCharType="begin"/>
      </w:r>
      <w:r>
        <w:instrText xml:space="preserve"> HYPERLINK "http://fjnu.fanya.chaoxing.com/portal" </w:instrText>
      </w:r>
      <w:r>
        <w:fldChar w:fldCharType="separate"/>
      </w:r>
      <w:r>
        <w:rPr>
          <w:rStyle w:val="8"/>
          <w:sz w:val="28"/>
          <w:szCs w:val="28"/>
        </w:rPr>
        <w:t>http://fjnu.fanya.chaoxing.com/portal</w:t>
      </w:r>
      <w:r>
        <w:rPr>
          <w:rStyle w:val="8"/>
          <w:sz w:val="28"/>
          <w:szCs w:val="28"/>
        </w:rPr>
        <w:fldChar w:fldCharType="end"/>
      </w:r>
      <w:r>
        <w:rPr>
          <w:rFonts w:hint="eastAsia"/>
          <w:sz w:val="28"/>
          <w:szCs w:val="28"/>
        </w:rPr>
        <w:t>，登陆和学习必修模块课程可依据</w:t>
      </w:r>
      <w:r>
        <w:rPr>
          <w:rFonts w:hint="default"/>
          <w:sz w:val="28"/>
          <w:szCs w:val="28"/>
        </w:rPr>
        <w:t>本实施方案的</w:t>
      </w:r>
      <w:r>
        <w:rPr>
          <w:rFonts w:hint="eastAsia"/>
          <w:sz w:val="28"/>
          <w:szCs w:val="28"/>
        </w:rPr>
        <w:t>《附件2》的学习方法进</w:t>
      </w:r>
      <w:bookmarkStart w:id="1" w:name="_GoBack"/>
      <w:bookmarkEnd w:id="1"/>
      <w:r>
        <w:rPr>
          <w:rFonts w:hint="eastAsia"/>
          <w:sz w:val="28"/>
          <w:szCs w:val="28"/>
        </w:rPr>
        <w:t>行。</w:t>
      </w:r>
      <w:bookmarkEnd w:id="0"/>
    </w:p>
    <w:p>
      <w:pPr>
        <w:spacing w:line="360" w:lineRule="auto"/>
        <w:ind w:firstLine="560" w:firstLineChars="200"/>
        <w:jc w:val="left"/>
        <w:rPr>
          <w:rFonts w:hint="eastAsia"/>
          <w:sz w:val="28"/>
          <w:szCs w:val="28"/>
        </w:rPr>
      </w:pPr>
    </w:p>
    <w:p>
      <w:pPr>
        <w:spacing w:line="360" w:lineRule="auto"/>
        <w:jc w:val="left"/>
        <w:rPr>
          <w:sz w:val="28"/>
          <w:szCs w:val="28"/>
        </w:rPr>
      </w:pPr>
      <w:r>
        <w:rPr>
          <w:rFonts w:hint="eastAsia"/>
          <w:b/>
          <w:sz w:val="28"/>
          <w:szCs w:val="28"/>
        </w:rPr>
        <w:t>四、报告列表</w:t>
      </w:r>
    </w:p>
    <w:tbl>
      <w:tblPr>
        <w:tblStyle w:val="6"/>
        <w:tblW w:w="919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1"/>
        <w:gridCol w:w="5293"/>
        <w:gridCol w:w="29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1" w:type="dxa"/>
            <w:vAlign w:val="center"/>
          </w:tcPr>
          <w:p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序号</w:t>
            </w:r>
          </w:p>
        </w:tc>
        <w:tc>
          <w:tcPr>
            <w:tcW w:w="5293" w:type="dxa"/>
            <w:vAlign w:val="center"/>
          </w:tcPr>
          <w:p>
            <w:pPr>
              <w:spacing w:line="360" w:lineRule="auto"/>
              <w:jc w:val="center"/>
              <w:rPr>
                <w:rFonts w:hint="eastAsia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</w:rPr>
              <w:t>报告</w:t>
            </w:r>
            <w:r>
              <w:rPr>
                <w:rFonts w:hint="eastAsia"/>
                <w:sz w:val="28"/>
                <w:szCs w:val="28"/>
                <w:lang w:eastAsia="zh-CN"/>
              </w:rPr>
              <w:t>主题</w:t>
            </w:r>
          </w:p>
        </w:tc>
        <w:tc>
          <w:tcPr>
            <w:tcW w:w="2991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t>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1" w:type="dxa"/>
            <w:vAlign w:val="center"/>
          </w:tcPr>
          <w:p>
            <w:pPr>
              <w:spacing w:line="360" w:lineRule="auto"/>
              <w:jc w:val="center"/>
              <w:rPr>
                <w:rFonts w:hint="eastAsia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5293" w:type="dxa"/>
            <w:vAlign w:val="center"/>
          </w:tcPr>
          <w:p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家国情怀与疫情防控</w:t>
            </w:r>
          </w:p>
        </w:tc>
        <w:tc>
          <w:tcPr>
            <w:tcW w:w="2991" w:type="dxa"/>
            <w:vAlign w:val="center"/>
          </w:tcPr>
          <w:p>
            <w:pPr>
              <w:spacing w:line="360" w:lineRule="auto"/>
              <w:jc w:val="center"/>
              <w:rPr>
                <w:rFonts w:hint="eastAsia" w:eastAsia="宋体"/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马克思主义学院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1" w:type="dxa"/>
            <w:vAlign w:val="center"/>
          </w:tcPr>
          <w:p>
            <w:pPr>
              <w:spacing w:line="360" w:lineRule="auto"/>
              <w:jc w:val="center"/>
              <w:rPr>
                <w:rFonts w:hint="eastAsia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5293" w:type="dxa"/>
            <w:vAlign w:val="center"/>
          </w:tcPr>
          <w:p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疫情防控与公民责任</w:t>
            </w:r>
          </w:p>
        </w:tc>
        <w:tc>
          <w:tcPr>
            <w:tcW w:w="2991" w:type="dxa"/>
            <w:vAlign w:val="center"/>
          </w:tcPr>
          <w:p>
            <w:pPr>
              <w:spacing w:line="360" w:lineRule="auto"/>
              <w:jc w:val="center"/>
              <w:rPr>
                <w:rFonts w:hint="eastAsia" w:eastAsia="宋体"/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公共管理学院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1" w:type="dxa"/>
            <w:vAlign w:val="center"/>
          </w:tcPr>
          <w:p>
            <w:pPr>
              <w:spacing w:line="360" w:lineRule="auto"/>
              <w:jc w:val="center"/>
              <w:rPr>
                <w:rFonts w:hint="eastAsia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5293" w:type="dxa"/>
            <w:vAlign w:val="center"/>
          </w:tcPr>
          <w:p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人与自然和谐共生</w:t>
            </w:r>
          </w:p>
        </w:tc>
        <w:tc>
          <w:tcPr>
            <w:tcW w:w="2991" w:type="dxa"/>
            <w:vAlign w:val="center"/>
          </w:tcPr>
          <w:p>
            <w:pPr>
              <w:spacing w:line="360" w:lineRule="auto"/>
              <w:jc w:val="center"/>
              <w:rPr>
                <w:rFonts w:hint="eastAsia" w:eastAsia="宋体"/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地理科学学院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1" w:type="dxa"/>
            <w:vAlign w:val="center"/>
          </w:tcPr>
          <w:p>
            <w:pPr>
              <w:spacing w:line="360" w:lineRule="auto"/>
              <w:jc w:val="center"/>
              <w:rPr>
                <w:rFonts w:hint="eastAsia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5293" w:type="dxa"/>
            <w:vAlign w:val="center"/>
          </w:tcPr>
          <w:p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疫情心理疏导与调适</w:t>
            </w:r>
          </w:p>
        </w:tc>
        <w:tc>
          <w:tcPr>
            <w:tcW w:w="2991" w:type="dxa"/>
            <w:vAlign w:val="center"/>
          </w:tcPr>
          <w:p>
            <w:pPr>
              <w:spacing w:line="360" w:lineRule="auto"/>
              <w:jc w:val="center"/>
              <w:rPr>
                <w:rFonts w:hint="eastAsia" w:eastAsia="宋体"/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心理学院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1" w:type="dxa"/>
            <w:vAlign w:val="center"/>
          </w:tcPr>
          <w:p>
            <w:pPr>
              <w:spacing w:line="360" w:lineRule="auto"/>
              <w:jc w:val="center"/>
              <w:rPr>
                <w:rFonts w:hint="eastAsia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5293" w:type="dxa"/>
            <w:vAlign w:val="center"/>
          </w:tcPr>
          <w:p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卫生防疫与健康教育</w:t>
            </w:r>
          </w:p>
        </w:tc>
        <w:tc>
          <w:tcPr>
            <w:tcW w:w="2991" w:type="dxa"/>
            <w:vAlign w:val="center"/>
          </w:tcPr>
          <w:p>
            <w:pPr>
              <w:spacing w:line="360" w:lineRule="auto"/>
              <w:jc w:val="center"/>
              <w:rPr>
                <w:rFonts w:hint="eastAsia" w:eastAsia="宋体"/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生命科学学院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1" w:type="dxa"/>
            <w:vAlign w:val="center"/>
          </w:tcPr>
          <w:p>
            <w:pPr>
              <w:spacing w:line="360" w:lineRule="auto"/>
              <w:jc w:val="center"/>
              <w:rPr>
                <w:rFonts w:hint="eastAsia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6</w:t>
            </w:r>
          </w:p>
        </w:tc>
        <w:tc>
          <w:tcPr>
            <w:tcW w:w="5293" w:type="dxa"/>
            <w:vAlign w:val="center"/>
          </w:tcPr>
          <w:p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居家科学运动与训练</w:t>
            </w:r>
          </w:p>
        </w:tc>
        <w:tc>
          <w:tcPr>
            <w:tcW w:w="2991" w:type="dxa"/>
            <w:vAlign w:val="center"/>
          </w:tcPr>
          <w:p>
            <w:pPr>
              <w:spacing w:line="360" w:lineRule="auto"/>
              <w:jc w:val="center"/>
              <w:rPr>
                <w:rFonts w:hint="eastAsia" w:eastAsia="宋体"/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体育科学学院</w:t>
            </w:r>
          </w:p>
        </w:tc>
      </w:tr>
    </w:tbl>
    <w:p>
      <w:pPr>
        <w:spacing w:line="360" w:lineRule="auto"/>
        <w:ind w:firstLine="560" w:firstLineChars="200"/>
        <w:jc w:val="left"/>
        <w:rPr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07D3"/>
    <w:rsid w:val="00235AD8"/>
    <w:rsid w:val="00276747"/>
    <w:rsid w:val="003D7EE0"/>
    <w:rsid w:val="0040590C"/>
    <w:rsid w:val="00451496"/>
    <w:rsid w:val="005871D3"/>
    <w:rsid w:val="005D151F"/>
    <w:rsid w:val="005F0E04"/>
    <w:rsid w:val="006307D3"/>
    <w:rsid w:val="00756C6A"/>
    <w:rsid w:val="00A07DD0"/>
    <w:rsid w:val="00A52B45"/>
    <w:rsid w:val="00AF0383"/>
    <w:rsid w:val="00B641CB"/>
    <w:rsid w:val="00B649AE"/>
    <w:rsid w:val="00B779ED"/>
    <w:rsid w:val="00BF1500"/>
    <w:rsid w:val="00C44D4D"/>
    <w:rsid w:val="00C83DBF"/>
    <w:rsid w:val="00C875CF"/>
    <w:rsid w:val="00DB7DD1"/>
    <w:rsid w:val="00EC2DD6"/>
    <w:rsid w:val="00F61CEA"/>
    <w:rsid w:val="18377547"/>
    <w:rsid w:val="3FE9945C"/>
    <w:rsid w:val="7B7BE5A6"/>
    <w:rsid w:val="DE98B86C"/>
    <w:rsid w:val="FD9E0156"/>
    <w:rsid w:val="FFF2F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Hyperlink"/>
    <w:qFormat/>
    <w:uiPriority w:val="0"/>
    <w:rPr>
      <w:color w:val="0000FF"/>
      <w:u w:val="single"/>
    </w:rPr>
  </w:style>
  <w:style w:type="character" w:customStyle="1" w:styleId="9">
    <w:name w:val="批注框文本 Char"/>
    <w:basedOn w:val="7"/>
    <w:link w:val="2"/>
    <w:semiHidden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0">
    <w:name w:val="页眉 Char"/>
    <w:basedOn w:val="7"/>
    <w:link w:val="4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1">
    <w:name w:val="页脚 Char"/>
    <w:basedOn w:val="7"/>
    <w:link w:val="3"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85</Words>
  <Characters>488</Characters>
  <Lines>4</Lines>
  <Paragraphs>1</Paragraphs>
  <TotalTime>1</TotalTime>
  <ScaleCrop>false</ScaleCrop>
  <LinksUpToDate>false</LinksUpToDate>
  <CharactersWithSpaces>572</CharactersWithSpaces>
  <Application>WPS Office_11.1.0.9440_F1E327BC-269C-435d-A152-05C5408002CA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2020-02-08T20:05:00Z</dcterms:created>
  <dc:creator>Microsoft</dc:creator>
  <cp:lastModifiedBy>温志嵩</cp:lastModifiedBy>
  <dcterms:modified xsi:type="dcterms:W3CDTF">2020-02-20T01:48:38Z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2052-11.1.0.9440</vt:lpwstr>
  </property>
</Properties>
</file>